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16" w:rsidRDefault="00344E01" w:rsidP="00406816">
      <w:pPr>
        <w:spacing w:line="240" w:lineRule="auto"/>
        <w:rPr>
          <w:rFonts w:ascii="Times New Roman" w:eastAsia="Arial Unicode MS" w:hAnsi="Times New Roman" w:cs="Times New Roman"/>
          <w:b/>
          <w:bCs/>
          <w:color w:val="430000"/>
          <w:sz w:val="28"/>
          <w:szCs w:val="28"/>
          <w:u w:val="single"/>
          <w:lang w:eastAsia="es-ES"/>
        </w:rPr>
      </w:pPr>
      <w:r w:rsidRPr="00344E01">
        <w:rPr>
          <w:rFonts w:ascii="Times New Roman" w:eastAsia="Arial Unicode MS" w:hAnsi="Times New Roman" w:cs="Times New Roman"/>
          <w:b/>
          <w:bCs/>
          <w:color w:val="430000"/>
          <w:sz w:val="28"/>
          <w:szCs w:val="28"/>
          <w:u w:val="single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69.75pt" fillcolor="#06c" strokecolor="#9cf" strokeweight="1.5pt">
            <v:shadow on="t" color="#900"/>
            <v:textpath style="font-family:&quot;Times New Roman&quot;;font-size:20pt;v-text-kern:t" trim="t" fitpath="t" string="Instrucciones para el funcionamiento &#10;Receptor  WebSDR de LU5DNP&#10;"/>
          </v:shape>
        </w:pic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2797175"/>
            <wp:effectExtent l="19050" t="0" r="0" b="0"/>
            <wp:docPr id="7" name="12 Imagen" descr="cartels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sd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la nueva versión del Receptor SDR, el funcionamiento del Audio es en HTML5 y puede hacer elección tanto de audio y video al inicio de la pagina del Receptor.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439005" cy="266737"/>
            <wp:effectExtent l="19050" t="0" r="9045" b="0"/>
            <wp:docPr id="9" name="1 Imagen" descr="Sin tít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Pr="00E233AF" w:rsidRDefault="00406816" w:rsidP="00406816">
      <w:pPr>
        <w:spacing w:line="300" w:lineRule="auto"/>
        <w:rPr>
          <w:rFonts w:ascii="Times New Roman" w:eastAsia="Times New Roman" w:hAnsi="Times New Roman" w:cs="Times New Roman"/>
          <w:sz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Cargue 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 usted no lo ha hecho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puede hacerlo  desde aquí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hyperlink r:id="rId8" w:history="1">
        <w:r w:rsidRPr="00306FE7">
          <w:rPr>
            <w:rStyle w:val="Hipervnculo"/>
            <w:rFonts w:ascii="Times New Roman" w:eastAsia="Times New Roman" w:hAnsi="Times New Roman" w:cs="Times New Roman"/>
            <w:sz w:val="24"/>
            <w:lang w:eastAsia="es-ES"/>
          </w:rPr>
          <w:t>http://java.com</w:t>
        </w:r>
        <w:r w:rsidRPr="00306FE7">
          <w:rPr>
            <w:rStyle w:val="Hipervnculo"/>
          </w:rPr>
          <w:t>/es</w:t>
        </w:r>
      </w:hyperlink>
      <w:r>
        <w:rPr>
          <w:rFonts w:ascii="Times New Roman" w:eastAsia="Times New Roman" w:hAnsi="Times New Roman" w:cs="Times New Roman"/>
          <w:sz w:val="24"/>
          <w:lang w:eastAsia="es-ES"/>
        </w:rPr>
        <w:t xml:space="preserve">       en algunos servidores no es necesario.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Igualmente si no tiene audio, haga click para activar el mismo en  INICIAR AUDIO    al inicio de la pagina del receptor, eso corre para los usuarios de Google.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933845" cy="704948"/>
            <wp:effectExtent l="19050" t="0" r="9255" b="0"/>
            <wp:docPr id="14" name="4 Imagen" descr="Sin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Mayormente los usuarios usan como buscador Google, tal vez puedan tener inconvenientes en el manejo del receptor, se recomienda usar FireFox, tiene cualidades mejores de funcionamiento con los SDR.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406816" w:rsidRPr="00AF23AC" w:rsidRDefault="00406816" w:rsidP="00406816">
      <w:pPr>
        <w:spacing w:line="30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AF23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Nuevas características en esta versión de WebSDR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 inicio usted puede ver un panel de control donde se encuentran todos los elementos necesarios para el manejo del receptor.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400040" cy="1796415"/>
            <wp:effectExtent l="19050" t="0" r="0" b="0"/>
            <wp:docPr id="15" name="3 Imagen" descr="Sin títul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puede apreciar el display de frecuencia de sintonía, debajo los diferentes pasos de sintonía, los usos de diferentes bandas operativas, la elección de los modos de uso, AM,LSB,FM o CW, medidor de intensidad de señal, regulador de volumen, grabador de audio y diferentes manejos del Zoom..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2651125"/>
            <wp:effectExtent l="19050" t="0" r="0" b="0"/>
            <wp:docPr id="16" name="5 Imagen" descr="Sin títul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Debajo, la cascada donde aparecen las formas en el espectro de las diferentes señales que se encuentran transmitiendo, modos de LSB y AM, la marcación de la frecuencia y etiquetas indicadoras de la distribución operativa en la banda, en el siguiente panel, los usuarios con su identificación de IP o señal distintiva o nombre.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2091055"/>
            <wp:effectExtent l="19050" t="0" r="0" b="0"/>
            <wp:docPr id="17" name="0 Imagen" descr="Sin títul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A continuación, están los diferentes comandos de regulación para el funcionamiento de la cascada, identificación y datos de la estación que se escucha, control de recepción de señal, memorizar frecuencias y donde tiene que identificarse como usuario.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finalizar la vista, está el Chat box, donde usted puede hacer comentarios con su corresponsal, referido a diferentes temas radiales.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modo de sintonía se hace mediante un cursor de color amarillo que se muestra en la siguiente ilustración.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1052195"/>
            <wp:effectExtent l="19050" t="0" r="0" b="0"/>
            <wp:docPr id="18" name="2 Imagen" descr="Sin títul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Este cursor actúa como elemento de sintonía arrastrándolo y moviendo la rueda del mouse, también actúa como manejo de los filtros de anchos, corriendo los laterales izquierdo y derecho del mismo con el mouse.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Uso del Ratón o Mouse. </w:t>
      </w:r>
    </w:p>
    <w:p w:rsidR="00406816" w:rsidRDefault="00406816" w:rsidP="004068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Usted puede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sintonizar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frecuencia usando su rueda del ratón. Coloque su indicador de ratón en la escala de la frecuencia debajo de la cascada. Ruede su rueda del ratón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sintonizar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frecuencia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Usted puede enfocar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zoom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adentro en una porción de la cascada usando su rueda del ratón. Coloque su indicador en la cascada y ruede su rueda del ratón.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Usted puede arrastrar la cascada mientras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zoom este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enfocado. Coloque su indicador de ratón en la cascada y arrastre con su ratón mientras que presiona el botón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izquierdo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ratón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406816" w:rsidRPr="0098470A" w:rsidRDefault="00406816" w:rsidP="00406816">
      <w:pPr>
        <w:spacing w:after="240" w:line="240" w:lineRule="auto"/>
        <w:rPr>
          <w:rFonts w:ascii="Calibri" w:eastAsia="Times New Roman" w:hAnsi="Calibri" w:cs="Times New Roman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noProof/>
          <w:lang w:eastAsia="es-ES"/>
        </w:rPr>
        <w:drawing>
          <wp:inline distT="0" distB="0" distL="0" distR="0">
            <wp:extent cx="3439005" cy="400106"/>
            <wp:effectExtent l="19050" t="0" r="9045" b="0"/>
            <wp:docPr id="19" name="7 Imagen" descr="Sin títul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Por favor </w:t>
      </w:r>
      <w:r w:rsidRPr="00B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incorpore 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Indicativo de llamada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 nombre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lugar especificado para la identificación del usuario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896269" cy="1810003"/>
            <wp:effectExtent l="19050" t="0" r="8981" b="0"/>
            <wp:docPr id="20" name="11 Imagen" descr="Sin títul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Usando la caja de la frecuencia debajo de la cascada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usted puede incorporar una frecuencia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la memoria, utilizando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directamente su teclado. 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Usted puede ocultar las etiquetas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bandas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 cli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sacar/poner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etiqueta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  en la caja de la 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ción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El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oom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adentro y el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oom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hacia fuera ahora permite una inspección más cercana de esa parte de la cascada.</w:t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noProof/>
          <w:lang w:eastAsia="es-ES"/>
        </w:rPr>
        <w:drawing>
          <wp:inline distT="0" distB="0" distL="0" distR="0">
            <wp:extent cx="5400040" cy="309245"/>
            <wp:effectExtent l="19050" t="0" r="0" b="0"/>
            <wp:docPr id="21" name="9 Imagen" descr="Sin títul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Después a la caja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tamaño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banda usted puede cambiar la velocidad del espectro,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contraste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y la vista de las señales que usted desea ver. Usted puede también rodar su rueda del ratón sobre una de las cascadas para cambiar la anchura de banda observada y para examinar señales más de cerca. 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Hay un botón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(mute)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 usted desea silenciar el audio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otro de squelch que silencia el ruido de banda y se activa solo cuando aparece una estación modulando y el autonoch filtro de señales cercanas.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noProof/>
          <w:lang w:eastAsia="es-ES"/>
        </w:rPr>
        <w:drawing>
          <wp:inline distT="0" distB="0" distL="0" distR="0">
            <wp:extent cx="2057687" cy="266737"/>
            <wp:effectExtent l="19050" t="0" r="0" b="0"/>
            <wp:docPr id="22" name="10 Imagen" descr="Sin títul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usted oye una estación notable por favor tomar algunos minutos para incorporarla en el diario de operación en línea. </w:t>
      </w:r>
    </w:p>
    <w:p w:rsidR="00406816" w:rsidRPr="0098470A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Arriba del medidor de señal se muestra 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número de usuarios simultáneos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Finalmente, en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fondo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está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función</w:t>
      </w:r>
      <w:r w:rsidRPr="00B510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donde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puede activar un diagrama de intensidad de señal activando diferentes velocidades del mismo, es más visible con señales continuas de AM.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Estos son los funcionamientos básicos del receptor SDR, con práctica y el uso del mismo se irán familiarizando del manejo. Sacando el mayor uso como instrumento de ajuste para los equipos de radio utilizándolo como Analizador de Espectro.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---------------------------------------------------------------------------------------------------------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TENER EN CUENTA: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Todos los usuarios que ingresen al receptor, son identificados automáticamente y se guarda este registro en un “Log” donde se mantiene el historial archivado, cualquiera que se identifique groseramente, coloque frases agraviantes en el chat, o haga uso indebido del receptor, será impedido de conectarse al receptor SDR indefinidamente. 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----------------------------------------------------------------------------------------------------------</w:t>
      </w:r>
    </w:p>
    <w:p w:rsidR="00406816" w:rsidRDefault="00406816" w:rsidP="00406816">
      <w:pPr>
        <w:spacing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6816" w:rsidRPr="00D50A33" w:rsidRDefault="00406816" w:rsidP="00406816">
      <w:pPr>
        <w:spacing w:line="300" w:lineRule="auto"/>
        <w:rPr>
          <w:rFonts w:ascii="Calibri" w:eastAsia="Times New Roman" w:hAnsi="Calibri" w:cs="Times New Roman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Cualquier consulta a </w:t>
      </w:r>
      <w:hyperlink r:id="rId18" w:history="1">
        <w:r w:rsidRPr="00306FE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lu5dnp@hotmail.com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      Gracias.. …73´s.-</w:t>
      </w:r>
    </w:p>
    <w:p w:rsidR="00932738" w:rsidRPr="00406816" w:rsidRDefault="00932738" w:rsidP="00406816"/>
    <w:sectPr w:rsidR="00932738" w:rsidRPr="00406816" w:rsidSect="00174AAF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CA" w:rsidRDefault="00A955CA" w:rsidP="00840D75">
      <w:pPr>
        <w:spacing w:after="0" w:line="240" w:lineRule="auto"/>
      </w:pPr>
      <w:r>
        <w:separator/>
      </w:r>
    </w:p>
  </w:endnote>
  <w:endnote w:type="continuationSeparator" w:id="0">
    <w:p w:rsidR="00A955CA" w:rsidRDefault="00A955CA" w:rsidP="0084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CA" w:rsidRDefault="00A955CA" w:rsidP="00840D75">
      <w:pPr>
        <w:spacing w:after="0" w:line="240" w:lineRule="auto"/>
      </w:pPr>
      <w:r>
        <w:separator/>
      </w:r>
    </w:p>
  </w:footnote>
  <w:footnote w:type="continuationSeparator" w:id="0">
    <w:p w:rsidR="00A955CA" w:rsidRDefault="00A955CA" w:rsidP="0084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0A"/>
    <w:rsid w:val="000705AD"/>
    <w:rsid w:val="00136B47"/>
    <w:rsid w:val="00174AAF"/>
    <w:rsid w:val="002A4F00"/>
    <w:rsid w:val="002D433A"/>
    <w:rsid w:val="002E54DE"/>
    <w:rsid w:val="00344E01"/>
    <w:rsid w:val="00350C86"/>
    <w:rsid w:val="003822AC"/>
    <w:rsid w:val="00406816"/>
    <w:rsid w:val="004377AC"/>
    <w:rsid w:val="00477EA7"/>
    <w:rsid w:val="00483F16"/>
    <w:rsid w:val="00497CA0"/>
    <w:rsid w:val="004E24D0"/>
    <w:rsid w:val="0052583C"/>
    <w:rsid w:val="00563C8E"/>
    <w:rsid w:val="0057666C"/>
    <w:rsid w:val="005858AA"/>
    <w:rsid w:val="005C10D8"/>
    <w:rsid w:val="005E576A"/>
    <w:rsid w:val="00634117"/>
    <w:rsid w:val="006A310D"/>
    <w:rsid w:val="006B7416"/>
    <w:rsid w:val="006C2DA7"/>
    <w:rsid w:val="006C4B9E"/>
    <w:rsid w:val="0070128E"/>
    <w:rsid w:val="007050D8"/>
    <w:rsid w:val="00724675"/>
    <w:rsid w:val="00727F6F"/>
    <w:rsid w:val="00741F36"/>
    <w:rsid w:val="007451D4"/>
    <w:rsid w:val="00777F94"/>
    <w:rsid w:val="00782351"/>
    <w:rsid w:val="0078296A"/>
    <w:rsid w:val="007E0944"/>
    <w:rsid w:val="00804A24"/>
    <w:rsid w:val="008146D6"/>
    <w:rsid w:val="00836E6A"/>
    <w:rsid w:val="00840D75"/>
    <w:rsid w:val="00910B68"/>
    <w:rsid w:val="00932738"/>
    <w:rsid w:val="0094593D"/>
    <w:rsid w:val="00946F3F"/>
    <w:rsid w:val="0098470A"/>
    <w:rsid w:val="009A19E5"/>
    <w:rsid w:val="009E3738"/>
    <w:rsid w:val="00A372E2"/>
    <w:rsid w:val="00A955CA"/>
    <w:rsid w:val="00AC77F0"/>
    <w:rsid w:val="00AF23AC"/>
    <w:rsid w:val="00B5101D"/>
    <w:rsid w:val="00B63878"/>
    <w:rsid w:val="00B7117C"/>
    <w:rsid w:val="00BB3364"/>
    <w:rsid w:val="00BC1F4C"/>
    <w:rsid w:val="00BF04B0"/>
    <w:rsid w:val="00C13DDC"/>
    <w:rsid w:val="00C34EDA"/>
    <w:rsid w:val="00C42E12"/>
    <w:rsid w:val="00C47C46"/>
    <w:rsid w:val="00C64F6E"/>
    <w:rsid w:val="00CB3086"/>
    <w:rsid w:val="00CD4923"/>
    <w:rsid w:val="00CF618A"/>
    <w:rsid w:val="00D50A33"/>
    <w:rsid w:val="00DD5C81"/>
    <w:rsid w:val="00E233AF"/>
    <w:rsid w:val="00EC46C7"/>
    <w:rsid w:val="00F1512F"/>
    <w:rsid w:val="00F62A0E"/>
    <w:rsid w:val="00FE22CE"/>
    <w:rsid w:val="00FE231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470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8470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4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0D75"/>
  </w:style>
  <w:style w:type="paragraph" w:styleId="Piedepgina">
    <w:name w:val="footer"/>
    <w:basedOn w:val="Normal"/>
    <w:link w:val="PiedepginaCar"/>
    <w:uiPriority w:val="99"/>
    <w:semiHidden/>
    <w:unhideWhenUsed/>
    <w:rsid w:val="0084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com/es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lu5dnp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Nestor</cp:lastModifiedBy>
  <cp:revision>70</cp:revision>
  <dcterms:created xsi:type="dcterms:W3CDTF">2012-05-06T15:44:00Z</dcterms:created>
  <dcterms:modified xsi:type="dcterms:W3CDTF">2020-04-16T03:03:00Z</dcterms:modified>
</cp:coreProperties>
</file>